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pacing w:before="283" w:line="230" w:lineRule="auto"/>
        <w:rPr>
          <w:sz w:val="31"/>
          <w:szCs w:val="31"/>
          <w:rFonts w:ascii="黑体" w:hAnsi="黑体" w:eastAsia="黑体" w:cs="黑体" w:hint="default"/>
        </w:rPr>
      </w:pPr>
      <w:r>
        <w:rPr>
          <w:spacing w:val="-4"/>
          <w:sz w:val="31"/>
          <w:szCs w:val="31"/>
          <w:rFonts w:ascii="黑体" w:hAnsi="黑体" w:eastAsia="黑体" w:cs="黑体"/>
        </w:rPr>
        <w:t>附</w:t>
      </w:r>
      <w:r>
        <w:rPr>
          <w:spacing w:val="-2"/>
          <w:sz w:val="31"/>
          <w:szCs w:val="31"/>
          <w:rFonts w:ascii="黑体" w:hAnsi="黑体" w:eastAsia="黑体" w:cs="黑体"/>
        </w:rPr>
        <w:t>件3</w:t>
      </w:r>
    </w:p>
    <w:p>
      <w:pPr>
        <w:jc w:val="center"/>
        <w:spacing w:line="334" w:lineRule="auto"/>
        <w:rPr>
          <w:b w:val="1"/>
          <w:spacing w:val="-18"/>
          <w:position w:val="1"/>
          <w:sz w:val="44"/>
          <w:bCs/>
          <w:szCs w:val="44"/>
          <w:rFonts w:hint="eastAsia" w:asciiTheme="majorEastAsia" w:hAnsiTheme="majorEastAsia" w:eastAsiaTheme="majorEastAsia" w:cstheme="majorEastAsia"/>
        </w:rPr>
      </w:pPr>
      <w:r>
        <w:rPr>
          <w:b w:val="1"/>
          <w:spacing w:val="-18"/>
          <w:position w:val="1"/>
          <w:sz w:val="44"/>
          <w:bCs/>
          <w:szCs w:val="44"/>
          <w:rFonts w:hint="eastAsia" w:asciiTheme="majorEastAsia" w:hAnsiTheme="majorEastAsia" w:eastAsiaTheme="majorEastAsia" w:cstheme="majorEastAsia"/>
        </w:rPr>
        <w:t>2024年度吉林省高校网络思想政治工作</w:t>
      </w:r>
    </w:p>
    <w:p>
      <w:pPr>
        <w:jc w:val="center"/>
        <w:spacing w:line="334" w:lineRule="auto"/>
        <w:rPr>
          <w:b w:val="1"/>
          <w:sz w:val="44"/>
          <w:bCs/>
          <w:szCs w:val="44"/>
          <w:rFonts w:hint="eastAsia" w:asciiTheme="majorEastAsia" w:hAnsiTheme="majorEastAsia" w:eastAsiaTheme="majorEastAsia" w:cstheme="majorEastAsia"/>
        </w:rPr>
      </w:pPr>
      <w:r>
        <w:rPr>
          <w:b w:val="1"/>
          <w:spacing w:val="-18"/>
          <w:position w:val="1"/>
          <w:sz w:val="44"/>
          <w:bCs/>
          <w:szCs w:val="44"/>
          <w:rFonts w:hint="eastAsia" w:asciiTheme="majorEastAsia" w:hAnsiTheme="majorEastAsia" w:eastAsiaTheme="majorEastAsia" w:cstheme="majorEastAsia"/>
        </w:rPr>
        <w:t>研究课题选题指南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color w:val="auto"/>
          <w:sz w:val="32"/>
          <w:lang w:val="en-US" w:eastAsia="zh-Hans" w:bidi="ar-SA"/>
          <w:kern w:val="2"/>
          <w:szCs w:val="32"/>
          <w:rFonts w:ascii="仿宋_GB2312" w:hAnsi="Times New Roman" w:eastAsia="仿宋_GB2312" w:cs="Times New Roman" w:hint="eastAsia"/>
        </w:rPr>
        <w:t>习近平关于网络强国的重要思想研究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color w:val="auto"/>
          <w:sz w:val="32"/>
          <w:lang w:val="en-US" w:eastAsia="zh-Hans" w:bidi="ar-SA"/>
          <w:kern w:val="2"/>
          <w:szCs w:val="32"/>
          <w:rFonts w:ascii="仿宋_GB2312" w:hAnsi="Times New Roman" w:eastAsia="仿宋_GB2312" w:cs="Times New Roman" w:hint="eastAsia"/>
        </w:rPr>
        <w:t>党的二十大精神网络学习宣传研究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color w:val="auto"/>
          <w:sz w:val="32"/>
          <w:lang w:val="en-US" w:eastAsia="zh-Hans" w:bidi="ar-SA"/>
          <w:kern w:val="2"/>
          <w:szCs w:val="32"/>
          <w:rFonts w:ascii="仿宋_GB2312" w:hAnsi="Times New Roman" w:eastAsia="仿宋_GB2312" w:cs="Times New Roman" w:hint="eastAsia"/>
        </w:rPr>
        <w:t>高校网络思想政治教育影响力研究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color w:val="auto"/>
          <w:sz w:val="32"/>
          <w:lang w:val="en-US" w:eastAsia="zh-Hans" w:bidi="ar-SA"/>
          <w:kern w:val="2"/>
          <w:szCs w:val="32"/>
          <w:rFonts w:ascii="仿宋_GB2312" w:hAnsi="Times New Roman" w:eastAsia="仿宋_GB2312" w:cs="Times New Roman" w:hint="eastAsia"/>
        </w:rPr>
        <w:t>高校网络思想政治教育现状及对策研究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高校网络思想政治工作队伍建设研</w:t>
      </w:r>
      <w:r>
        <w:rPr>
          <w:spacing w:val="7"/>
          <w:sz w:val="31"/>
          <w:szCs w:val="31"/>
          <w:rFonts w:ascii="仿宋" w:hAnsi="仿宋" w:eastAsia="仿宋" w:cs="仿宋"/>
        </w:rPr>
        <w:t>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高校辅导员网络思想政治工作能力提升研究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新时代高校网络思想政治工作运行体制机制研究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“三全育人”视域下高校网络育人体系建设研究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优化高校网络思想政治教育资源供给研究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高校网络文化成果评价、推广、应用研</w:t>
      </w:r>
      <w:r>
        <w:rPr>
          <w:spacing w:val="4"/>
          <w:sz w:val="31"/>
          <w:szCs w:val="31"/>
          <w:rFonts w:ascii="仿宋" w:hAnsi="仿宋" w:eastAsia="仿宋" w:cs="仿宋"/>
        </w:rPr>
        <w:t>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8"/>
          <w:sz w:val="31"/>
          <w:szCs w:val="31"/>
          <w:rFonts w:ascii="仿宋" w:hAnsi="仿宋" w:eastAsia="仿宋" w:cs="仿宋"/>
        </w:rPr>
        <w:t>红色文化融入高校网络思想政治教育研究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8"/>
          <w:sz w:val="31"/>
          <w:lang w:val="en-US" w:eastAsia="zh-CN"/>
          <w:szCs w:val="31"/>
          <w:rFonts w:ascii="仿宋" w:hAnsi="仿宋" w:eastAsia="仿宋" w:cs="仿宋" w:hint="eastAsia"/>
        </w:rPr>
        <w:t>大</w:t>
      </w:r>
      <w:r>
        <w:rPr>
          <w:spacing w:val="8"/>
          <w:sz w:val="31"/>
          <w:szCs w:val="31"/>
          <w:rFonts w:ascii="仿宋" w:hAnsi="仿宋" w:eastAsia="仿宋" w:cs="仿宋"/>
        </w:rPr>
        <w:t>学生网络素养研</w:t>
      </w:r>
      <w:r>
        <w:rPr>
          <w:spacing w:val="6"/>
          <w:sz w:val="31"/>
          <w:szCs w:val="31"/>
          <w:rFonts w:ascii="仿宋" w:hAnsi="仿宋" w:eastAsia="仿宋" w:cs="仿宋"/>
        </w:rPr>
        <w:t>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8"/>
          <w:sz w:val="31"/>
          <w:szCs w:val="31"/>
          <w:rFonts w:ascii="仿宋" w:hAnsi="仿宋" w:eastAsia="仿宋" w:cs="仿宋"/>
        </w:rPr>
        <w:t>新时代网络思想政治教育载体创新研究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大数据时代高校网络思想政治教育实效性研</w:t>
      </w:r>
      <w:r>
        <w:rPr>
          <w:spacing w:val="5"/>
          <w:sz w:val="31"/>
          <w:szCs w:val="31"/>
          <w:rFonts w:ascii="仿宋" w:hAnsi="仿宋" w:eastAsia="仿宋" w:cs="仿宋"/>
        </w:rPr>
        <w:t>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8"/>
          <w:sz w:val="31"/>
          <w:szCs w:val="31"/>
          <w:rFonts w:ascii="仿宋" w:hAnsi="仿宋" w:eastAsia="仿宋" w:cs="仿宋"/>
        </w:rPr>
        <w:t>吉林高校易班建设现状及对策研究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lang w:val="en-US" w:eastAsia="zh-Hans"/>
          <w:szCs w:val="31"/>
          <w:rFonts w:ascii="仿宋" w:hAnsi="仿宋" w:eastAsia="仿宋" w:cs="仿宋" w:hint="eastAsia"/>
        </w:rPr>
        <w:t>吉林</w:t>
      </w:r>
      <w:r>
        <w:rPr>
          <w:spacing w:val="9"/>
          <w:sz w:val="31"/>
          <w:szCs w:val="31"/>
          <w:rFonts w:ascii="仿宋" w:hAnsi="仿宋" w:eastAsia="仿宋" w:cs="仿宋" w:hint="eastAsia"/>
        </w:rPr>
        <w:t>高校师生网络思想行为调研分析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8"/>
          <w:sz w:val="31"/>
          <w:szCs w:val="31"/>
          <w:rFonts w:ascii="仿宋" w:hAnsi="仿宋" w:eastAsia="仿宋" w:cs="仿宋"/>
        </w:rPr>
        <w:t>基于易班平台的网络思想政治工作研究</w:t>
      </w:r>
    </w:p>
    <w:p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1"/>
        </w:numPr>
        <w:spacing w:line="580" w:lineRule="exact"/>
        <w:rPr>
          <w:sz w:val="31"/>
          <w:szCs w:val="31"/>
          <w:rFonts w:ascii="仿宋" w:hAnsi="仿宋" w:eastAsia="仿宋" w:cs="仿宋"/>
        </w:rPr>
      </w:pPr>
      <w:r>
        <w:rPr>
          <w:spacing w:val="9"/>
          <w:sz w:val="31"/>
          <w:szCs w:val="31"/>
          <w:rFonts w:ascii="仿宋" w:hAnsi="仿宋" w:eastAsia="仿宋" w:cs="仿宋"/>
        </w:rPr>
        <w:t>基于“青梨派”平台的</w:t>
      </w:r>
      <w:r>
        <w:rPr>
          <w:spacing w:val="9"/>
          <w:sz w:val="31"/>
          <w:lang w:val="en-US" w:eastAsia="zh-Hans"/>
          <w:szCs w:val="31"/>
          <w:rFonts w:ascii="仿宋" w:hAnsi="仿宋" w:eastAsia="仿宋" w:cs="仿宋" w:hint="eastAsia"/>
        </w:rPr>
        <w:t>网络思想政治工作</w:t>
      </w:r>
      <w:r>
        <w:rPr>
          <w:spacing w:val="9"/>
          <w:sz w:val="31"/>
          <w:szCs w:val="31"/>
          <w:rFonts w:ascii="仿宋" w:hAnsi="仿宋" w:eastAsia="仿宋" w:cs="仿宋"/>
        </w:rPr>
        <w:t>研</w:t>
      </w:r>
      <w:r>
        <w:rPr>
          <w:spacing w:val="4"/>
          <w:sz w:val="31"/>
          <w:szCs w:val="31"/>
          <w:rFonts w:ascii="仿宋" w:hAnsi="仿宋" w:eastAsia="仿宋" w:cs="仿宋"/>
        </w:rPr>
        <w:t>究</w:t>
      </w:r>
    </w:p>
    <w:p>
      <w:pPr>
        <w:spacing w:line="226" w:lineRule="auto"/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rFonts w:ascii="仿宋" w:hAnsi="仿宋" w:eastAsia="仿宋" w:cs="仿宋"/>
        </w:rPr>
      </w:pPr>
    </w:p>
    <w:p>
      <w:pPr>
        <w:spacing w:line="226" w:lineRule="auto"/>
        <w:rPr>
          <w:sz w:val="31"/>
          <w:szCs w:val="31"/>
          <w:rFonts w:ascii="仿宋" w:hAnsi="仿宋" w:eastAsia="仿宋" w:cs="仿宋"/>
        </w:rPr>
      </w:pPr>
      <w:bookmarkStart w:id="0" w:name="_GoBack"/>
      <w:bookmarkEnd w:id="0"/>
      <w:r>
        <w:rPr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rFonts w:ascii="仿宋" w:hAnsi="仿宋" w:eastAsia="仿宋" w:cs="仿宋"/>
        </w:rPr>
        <w:t>注：</w:t>
      </w:r>
      <w:r>
        <w:rPr>
          <w:spacing w:val="7"/>
          <w:sz w:val="31"/>
          <w:szCs w:val="31"/>
          <w:rFonts w:ascii="仿宋" w:hAnsi="仿宋" w:eastAsia="仿宋" w:cs="仿宋"/>
        </w:rPr>
        <w:t>课题申报人可根据</w:t>
      </w:r>
      <w:r>
        <w:rPr>
          <w:spacing w:val="7"/>
          <w:sz w:val="31"/>
          <w:lang w:val="en-US" w:eastAsia="zh-CN"/>
          <w:szCs w:val="31"/>
          <w:rFonts w:ascii="仿宋" w:hAnsi="仿宋" w:eastAsia="仿宋" w:cs="仿宋" w:hint="eastAsia"/>
        </w:rPr>
        <w:t>选题</w:t>
      </w:r>
      <w:r>
        <w:rPr>
          <w:spacing w:val="7"/>
          <w:sz w:val="31"/>
          <w:szCs w:val="31"/>
          <w:rFonts w:ascii="仿宋" w:hAnsi="仿宋" w:eastAsia="仿宋" w:cs="仿宋"/>
        </w:rPr>
        <w:t>指南申报课题，题目可自拟</w:t>
      </w:r>
      <w:r>
        <w:rPr>
          <w:spacing w:val="6"/>
          <w:sz w:val="31"/>
          <w:szCs w:val="31"/>
          <w:rFonts w:ascii="仿宋" w:hAnsi="仿宋" w:eastAsia="仿宋" w:cs="仿宋"/>
        </w:rPr>
        <w:t>。</w:t>
      </w:r>
    </w:p>
    <w:sectPr>
      <w:docGrid w:type="default" w:charSpace="0"/>
      <w:pgSz w:w="12240" w:h="15840"/>
      <w:pgMar w:top="1346" w:right="1836" w:bottom="0" w:left="1827" w:header="0" w:footer="0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9863F581"/>
    <w:multiLevelType w:val="singleLevel"/>
    <w:tmpl w:val="9863F5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420"/>
  <w:characterSpacingControl w:val="doNotCompress"/>
  <w:footnotePr>
    <w:footnote w:id="0"/>
    <w:footnote w:id="1"/>
  </w:footnotePr>
  <w:endnotePr>
    <w:endnote w:id="0"/>
    <w:endnote w:id="1"/>
  </w:endnotePr>
  <w:zoom w:percent="100"/>
  <w:compat>
    <w:spaceForUL/>
    <w:ulTrailSpace/>
    <w:useFELayout/>
    <w:compatSetting w:val="14" w:uri="http://schemas.microsoft.com/office/word" w:name="compatibilityMode"/>
  </w:compat>
  <w:rsids>
    <w:rsidRoot w:val="00000000"/>
    <w:rsid w:val="4A586389"/>
    <w:rsid w:val="70EA6440"/>
    <w:rsid w:val="FF5B8B5A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Arial" w:hAnsi="Arial" w:eastAsia="Arial" w:cs="Arial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kern w:val="0"/>
      <w:szCs w:val="21"/>
      <w:rFonts w:ascii="Arial" w:hAnsi="Arial" w:eastAsia="Arial" w:cs="Arial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4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6" Type="http://schemas.openxmlformats.org/officeDocument/2006/relationships/numbering" Target="numbering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3</TotalTime>
  <Pages>1</Pages>
  <Words>360</Words>
  <Characters>363</Characters>
  <Application>WPS Office_11.1.0.14309_F1E327BC-269C-435d-A152-05C5408002CA</Application>
  <DocSecurity>0</DocSecurity>
  <Lines>0</Lines>
  <Paragraphs>0</Paragraphs>
  <ScaleCrop>false</ScaleCrop>
  <Company/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石珂</cp:lastModifiedBy>
  <cp:revision>0</cp:revision>
  <dcterms:created xsi:type="dcterms:W3CDTF">2022-06-29T22:52:00Z</dcterms:created>
  <dcterms:modified xsi:type="dcterms:W3CDTF">2023-08-07T06:43:19Z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wqlLaW5nc29mdCBQREYgdG8gV1BTIDgw</vt:lpwstr>
  </property>
  <property fmtid="{D5CDD505-2E9C-101B-9397-08002B2CF9AE}" pid="3" name="Created">
    <vt:filetime>2023-08-04T19:42:19Z</vt:filetime>
  </property>
  <property fmtid="{D5CDD505-2E9C-101B-9397-08002B2CF9AE}" pid="4" name="UsrData">
    <vt:lpwstr>64cce41439f1df001f5a4f68</vt:lpwstr>
  </property>
  <property fmtid="{D5CDD505-2E9C-101B-9397-08002B2CF9AE}" pid="5" name="KSOProductBuildVer">
    <vt:lpwstr>2052-11.1.0.14309</vt:lpwstr>
  </property>
  <property fmtid="{D5CDD505-2E9C-101B-9397-08002B2CF9AE}" pid="6" name="ICV">
    <vt:lpwstr>9CBBCB4C9C87250459EECC64E11847A6_42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3" w:line="230" w:lineRule="auto"/>
        <w:rPr>
          <w:rFonts w:hint="default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r>
        <w:rPr>
          <w:rFonts w:hint="default" w:ascii="黑体" w:hAnsi="黑体" w:eastAsia="黑体" w:cs="黑体"/>
          <w:spacing w:val="-2"/>
          <w:sz w:val="31"/>
          <w:szCs w:val="31"/>
        </w:rPr>
        <w:t>1</w:t>
      </w:r>
    </w:p>
    <w:p>
      <w:pPr>
        <w:spacing w:line="334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-18"/>
          <w:position w:val="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8"/>
          <w:position w:val="1"/>
          <w:sz w:val="44"/>
          <w:szCs w:val="44"/>
        </w:rPr>
        <w:t>2024年度吉林省高校网络思想政治工作</w:t>
      </w:r>
    </w:p>
    <w:p>
      <w:pPr>
        <w:spacing w:line="334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8"/>
          <w:position w:val="1"/>
          <w:sz w:val="44"/>
          <w:szCs w:val="44"/>
        </w:rPr>
        <w:t>研究课题选题指南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lang w:val="en-US" w:eastAsia="zh-Hans" w:bidi="ar-SA"/>
        </w:rPr>
        <w:t>习近平关于网络强国的重要思想研究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lang w:val="en-US" w:eastAsia="zh-Hans" w:bidi="ar-SA"/>
        </w:rPr>
        <w:t>党的二十大精神网络学习宣传研究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lang w:val="en-US" w:eastAsia="zh-Hans" w:bidi="ar-SA"/>
        </w:rPr>
        <w:t>高校网络思想政治教育影响力研究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32"/>
          <w:szCs w:val="32"/>
          <w:lang w:val="en-US" w:eastAsia="zh-Hans" w:bidi="ar-SA"/>
        </w:rPr>
        <w:t>高校网络思想政治教育现状及对策研究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高校网络思想政治工作队伍建设研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高校辅导员网络思想政治工作能力提升研究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新时代高校网络思想政治工作运行体制机制研究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“三全育人”视域下高校网络育人体系建设研究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优化高校网络思想政治教育资源供给研究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高校网络文化成果评价、推广、应用研</w:t>
      </w:r>
      <w:r>
        <w:rPr>
          <w:rFonts w:ascii="仿宋" w:hAnsi="仿宋" w:eastAsia="仿宋" w:cs="仿宋"/>
          <w:spacing w:val="4"/>
          <w:sz w:val="31"/>
          <w:szCs w:val="31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红色文化融入高校网络思想政治教育研究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大</w:t>
      </w:r>
      <w:r>
        <w:rPr>
          <w:rFonts w:ascii="仿宋" w:hAnsi="仿宋" w:eastAsia="仿宋" w:cs="仿宋"/>
          <w:spacing w:val="8"/>
          <w:sz w:val="31"/>
          <w:szCs w:val="31"/>
        </w:rPr>
        <w:t>学生网络素养研</w:t>
      </w:r>
      <w:r>
        <w:rPr>
          <w:rFonts w:ascii="仿宋" w:hAnsi="仿宋" w:eastAsia="仿宋" w:cs="仿宋"/>
          <w:spacing w:val="6"/>
          <w:sz w:val="31"/>
          <w:szCs w:val="31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新时代网络思想政治教育载体创新研究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大数据时代高校网络思想政治教育实效性研</w:t>
      </w:r>
      <w:r>
        <w:rPr>
          <w:rFonts w:ascii="仿宋" w:hAnsi="仿宋" w:eastAsia="仿宋" w:cs="仿宋"/>
          <w:spacing w:val="5"/>
          <w:sz w:val="31"/>
          <w:szCs w:val="31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吉林高校易班建设现状及对策研究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Hans"/>
        </w:rPr>
        <w:t>吉林</w:t>
      </w:r>
      <w:r>
        <w:rPr>
          <w:rFonts w:hint="eastAsia" w:ascii="仿宋" w:hAnsi="仿宋" w:eastAsia="仿宋" w:cs="仿宋"/>
          <w:spacing w:val="9"/>
          <w:sz w:val="31"/>
          <w:szCs w:val="31"/>
        </w:rPr>
        <w:t>高校师生网络思想行为调研分析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基于易班平台的网络思想政治工作研究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基于“青梨派”平台的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Hans"/>
        </w:rPr>
        <w:t>网络思想政治工作</w:t>
      </w:r>
      <w:r>
        <w:rPr>
          <w:rFonts w:ascii="仿宋" w:hAnsi="仿宋" w:eastAsia="仿宋" w:cs="仿宋"/>
          <w:spacing w:val="9"/>
          <w:sz w:val="31"/>
          <w:szCs w:val="31"/>
        </w:rPr>
        <w:t>研</w:t>
      </w:r>
      <w:r>
        <w:rPr>
          <w:rFonts w:ascii="仿宋" w:hAnsi="仿宋" w:eastAsia="仿宋" w:cs="仿宋"/>
          <w:spacing w:val="4"/>
          <w:sz w:val="31"/>
          <w:szCs w:val="31"/>
        </w:rPr>
        <w:t>究</w:t>
      </w:r>
    </w:p>
    <w:p>
      <w:pPr>
        <w:spacing w:line="226" w:lineRule="auto"/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ascii="仿宋" w:hAnsi="仿宋" w:eastAsia="仿宋" w:cs="仿宋"/>
          <w:spacing w:val="7"/>
          <w:sz w:val="31"/>
          <w:szCs w:val="31"/>
        </w:rPr>
        <w:t>课题申报人可根据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选题</w:t>
      </w:r>
      <w:bookmarkStart w:id="0" w:name="_GoBack"/>
      <w:bookmarkEnd w:id="0"/>
      <w:r>
        <w:rPr>
          <w:rFonts w:ascii="仿宋" w:hAnsi="仿宋" w:eastAsia="仿宋" w:cs="仿宋"/>
          <w:spacing w:val="7"/>
          <w:sz w:val="31"/>
          <w:szCs w:val="31"/>
        </w:rPr>
        <w:t>指南申报课题，题目可自拟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sectPr>
      <w:pgSz w:w="12240" w:h="15840"/>
      <w:pgMar w:top="1346" w:right="1836" w:bottom="0" w:left="1827" w:header="0" w:footer="0" w:gutter="0"/>
      <w:cols w:space="720" w:num="1"/>
    </w:sectPr>
  </w:body>
</w:document>
</file>